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F520" w14:textId="7152ABBC" w:rsidR="00284E0D" w:rsidRPr="003A4BC6" w:rsidRDefault="002A0305" w:rsidP="003A4BC6">
      <w:pPr>
        <w:pStyle w:val="Heading1"/>
      </w:pPr>
      <w:r>
        <w:t>Personal Communication Dictionary</w:t>
      </w:r>
    </w:p>
    <w:p w14:paraId="2F0588F1" w14:textId="22031027" w:rsidR="00841747" w:rsidRDefault="00284E0D" w:rsidP="00CE5D53">
      <w:pPr>
        <w:tabs>
          <w:tab w:val="center" w:pos="4680"/>
        </w:tabs>
        <w:spacing w:before="480" w:after="480"/>
      </w:pPr>
      <w:r>
        <w:rPr>
          <w:b/>
          <w:bCs/>
          <w:noProof/>
          <w:color w:val="012169"/>
          <w:sz w:val="48"/>
          <w:szCs w:val="48"/>
        </w:rPr>
        <mc:AlternateContent>
          <mc:Choice Requires="wps">
            <w:drawing>
              <wp:anchor distT="0" distB="0" distL="114300" distR="114300" simplePos="0" relativeHeight="251659264" behindDoc="1" locked="0" layoutInCell="1" allowOverlap="1" wp14:anchorId="1C17F5C6" wp14:editId="6C7F94E4">
                <wp:simplePos x="0" y="0"/>
                <wp:positionH relativeFrom="column">
                  <wp:posOffset>19050</wp:posOffset>
                </wp:positionH>
                <wp:positionV relativeFrom="paragraph">
                  <wp:posOffset>85090</wp:posOffset>
                </wp:positionV>
                <wp:extent cx="8471647" cy="0"/>
                <wp:effectExtent l="0" t="0" r="0" b="0"/>
                <wp:wrapNone/>
                <wp:docPr id="213264238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71647" cy="0"/>
                        </a:xfrm>
                        <a:prstGeom prst="line">
                          <a:avLst/>
                        </a:prstGeom>
                        <a:ln w="12700">
                          <a:solidFill>
                            <a:srgbClr val="00AB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6EBFC" id="Straight Connector 2" o:spid="_x0000_s1026" alt="&quot;&quot;"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7pt" to="668.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" strokecolor="#00abba" strokeweight="1pt">
                <v:stroke joinstyle="miter"/>
              </v:line>
            </w:pict>
          </mc:Fallback>
        </mc:AlternateContent>
      </w:r>
      <w:r w:rsidR="00841747">
        <w:t xml:space="preserve">Student: </w:t>
      </w:r>
      <w:r w:rsidR="006F1FC9">
        <w:t>___________________________________</w:t>
      </w:r>
    </w:p>
    <w:p w14:paraId="66119994" w14:textId="77777777" w:rsidR="00653EA8" w:rsidRPr="00284E0D" w:rsidRDefault="00653EA8" w:rsidP="00653EA8">
      <w:pPr>
        <w:spacing w:after="360"/>
      </w:pPr>
      <w:r w:rsidRPr="00C77024">
        <w:t>For students with complex communication needs it is important that their communication partners recognize and understand their communication attempts. A personal communication dictionary documents student-specific actions and their meanings. This can help others who work with the student, and any new communication partners, understand what the student is trying to communicate and plan consistent responses. Add and delete rows as needed.  </w:t>
      </w:r>
    </w:p>
    <w:tbl>
      <w:tblPr>
        <w:tblStyle w:val="TableGrid"/>
        <w:tblpPr w:leftFromText="180" w:rightFromText="180" w:vertAnchor="text" w:horzAnchor="margin" w:tblpY="33"/>
        <w:tblW w:w="13198" w:type="dxa"/>
        <w:tblLook w:val="04A0" w:firstRow="1" w:lastRow="0" w:firstColumn="1" w:lastColumn="0" w:noHBand="0" w:noVBand="1"/>
      </w:tblPr>
      <w:tblGrid>
        <w:gridCol w:w="2515"/>
        <w:gridCol w:w="3150"/>
        <w:gridCol w:w="2610"/>
        <w:gridCol w:w="4923"/>
      </w:tblGrid>
      <w:tr w:rsidR="00841747" w14:paraId="03B2DDB7" w14:textId="77777777" w:rsidTr="00F43BF9">
        <w:trPr>
          <w:trHeight w:val="620"/>
        </w:trPr>
        <w:tc>
          <w:tcPr>
            <w:tcW w:w="2515" w:type="dxa"/>
            <w:shd w:val="clear" w:color="auto" w:fill="E7E3DB"/>
          </w:tcPr>
          <w:p w14:paraId="364A13CA" w14:textId="77777777" w:rsidR="00841747" w:rsidRPr="003A4BC6" w:rsidRDefault="00841747" w:rsidP="00AF13A8">
            <w:pPr>
              <w:jc w:val="center"/>
              <w:rPr>
                <w:b/>
                <w:bCs/>
              </w:rPr>
            </w:pPr>
            <w:r>
              <w:rPr>
                <w:b/>
                <w:bCs/>
              </w:rPr>
              <w:t>When</w:t>
            </w:r>
          </w:p>
        </w:tc>
        <w:tc>
          <w:tcPr>
            <w:tcW w:w="3150" w:type="dxa"/>
            <w:shd w:val="clear" w:color="auto" w:fill="E7E3DB"/>
          </w:tcPr>
          <w:p w14:paraId="52E601CD" w14:textId="77777777" w:rsidR="00841747" w:rsidRPr="003A4BC6" w:rsidRDefault="00841747" w:rsidP="00AF13A8">
            <w:pPr>
              <w:jc w:val="center"/>
              <w:rPr>
                <w:b/>
                <w:bCs/>
              </w:rPr>
            </w:pPr>
            <w:r>
              <w:rPr>
                <w:b/>
                <w:bCs/>
              </w:rPr>
              <w:t>What the student does</w:t>
            </w:r>
          </w:p>
          <w:p w14:paraId="5CE00903" w14:textId="77777777" w:rsidR="00841747" w:rsidRPr="003A4BC6" w:rsidRDefault="00841747" w:rsidP="00AF13A8">
            <w:pPr>
              <w:jc w:val="center"/>
              <w:rPr>
                <w:sz w:val="20"/>
                <w:szCs w:val="20"/>
              </w:rPr>
            </w:pPr>
          </w:p>
        </w:tc>
        <w:tc>
          <w:tcPr>
            <w:tcW w:w="2610" w:type="dxa"/>
            <w:shd w:val="clear" w:color="auto" w:fill="E7E3DB"/>
          </w:tcPr>
          <w:p w14:paraId="19C69561" w14:textId="77777777" w:rsidR="00841747" w:rsidRPr="003A4BC6" w:rsidRDefault="00841747" w:rsidP="00AF13A8">
            <w:pPr>
              <w:jc w:val="center"/>
              <w:rPr>
                <w:b/>
                <w:bCs/>
              </w:rPr>
            </w:pPr>
            <w:r>
              <w:rPr>
                <w:b/>
                <w:bCs/>
              </w:rPr>
              <w:t>What we think the student is saying</w:t>
            </w:r>
          </w:p>
        </w:tc>
        <w:tc>
          <w:tcPr>
            <w:tcW w:w="4923" w:type="dxa"/>
            <w:shd w:val="clear" w:color="auto" w:fill="E7E3DB"/>
          </w:tcPr>
          <w:p w14:paraId="725D632E" w14:textId="77777777" w:rsidR="00841747" w:rsidRPr="003A4BC6" w:rsidRDefault="00841747" w:rsidP="00AF13A8">
            <w:pPr>
              <w:jc w:val="center"/>
              <w:rPr>
                <w:b/>
                <w:bCs/>
              </w:rPr>
            </w:pPr>
            <w:r>
              <w:rPr>
                <w:b/>
                <w:bCs/>
              </w:rPr>
              <w:t>How we will respond</w:t>
            </w:r>
          </w:p>
        </w:tc>
      </w:tr>
      <w:tr w:rsidR="00841747" w14:paraId="3341558B" w14:textId="77777777" w:rsidTr="009E0032">
        <w:trPr>
          <w:trHeight w:val="413"/>
        </w:trPr>
        <w:tc>
          <w:tcPr>
            <w:tcW w:w="2515" w:type="dxa"/>
            <w:shd w:val="clear" w:color="auto" w:fill="auto"/>
          </w:tcPr>
          <w:p w14:paraId="7FF06EA6" w14:textId="064FEA58" w:rsidR="00841747" w:rsidRPr="003A4BC6" w:rsidRDefault="00841747" w:rsidP="009E0032"/>
        </w:tc>
        <w:tc>
          <w:tcPr>
            <w:tcW w:w="3150" w:type="dxa"/>
          </w:tcPr>
          <w:p w14:paraId="45D1C6D9" w14:textId="565ED4A3" w:rsidR="00841747" w:rsidRPr="00875B0B" w:rsidRDefault="00841747" w:rsidP="009E0032"/>
        </w:tc>
        <w:tc>
          <w:tcPr>
            <w:tcW w:w="2610" w:type="dxa"/>
          </w:tcPr>
          <w:p w14:paraId="1BC64614" w14:textId="5BA3C182" w:rsidR="00841747" w:rsidRPr="00875B0B" w:rsidRDefault="00841747" w:rsidP="009E0032"/>
        </w:tc>
        <w:tc>
          <w:tcPr>
            <w:tcW w:w="4923" w:type="dxa"/>
          </w:tcPr>
          <w:p w14:paraId="207B3F8A" w14:textId="21378E98" w:rsidR="00841747" w:rsidRPr="00875B0B" w:rsidRDefault="00841747" w:rsidP="009E0032"/>
        </w:tc>
      </w:tr>
      <w:tr w:rsidR="00841747" w14:paraId="55C0842C" w14:textId="77777777" w:rsidTr="009E0032">
        <w:trPr>
          <w:trHeight w:val="389"/>
        </w:trPr>
        <w:tc>
          <w:tcPr>
            <w:tcW w:w="2515" w:type="dxa"/>
            <w:shd w:val="clear" w:color="auto" w:fill="auto"/>
          </w:tcPr>
          <w:p w14:paraId="6C7B891D" w14:textId="42DDE55F" w:rsidR="00841747" w:rsidRPr="003A4BC6" w:rsidRDefault="00841747" w:rsidP="009E0032"/>
        </w:tc>
        <w:tc>
          <w:tcPr>
            <w:tcW w:w="3150" w:type="dxa"/>
          </w:tcPr>
          <w:p w14:paraId="5A4812A6" w14:textId="0F10503A" w:rsidR="00841747" w:rsidRPr="00875B0B" w:rsidRDefault="00841747" w:rsidP="009E0032"/>
        </w:tc>
        <w:tc>
          <w:tcPr>
            <w:tcW w:w="2610" w:type="dxa"/>
          </w:tcPr>
          <w:p w14:paraId="1A00408D" w14:textId="34438759" w:rsidR="00841747" w:rsidRPr="00875B0B" w:rsidRDefault="00841747" w:rsidP="009E0032"/>
        </w:tc>
        <w:tc>
          <w:tcPr>
            <w:tcW w:w="4923" w:type="dxa"/>
          </w:tcPr>
          <w:p w14:paraId="16B91753" w14:textId="31623FD5" w:rsidR="00841747" w:rsidRPr="00875B0B" w:rsidRDefault="00841747" w:rsidP="009E0032"/>
        </w:tc>
      </w:tr>
      <w:tr w:rsidR="00841747" w14:paraId="7D8CC321" w14:textId="77777777" w:rsidTr="009E0032">
        <w:trPr>
          <w:trHeight w:val="413"/>
        </w:trPr>
        <w:tc>
          <w:tcPr>
            <w:tcW w:w="2515" w:type="dxa"/>
            <w:shd w:val="clear" w:color="auto" w:fill="auto"/>
          </w:tcPr>
          <w:p w14:paraId="559B6E97" w14:textId="55B53837" w:rsidR="00841747" w:rsidRPr="003A4BC6" w:rsidRDefault="00841747" w:rsidP="00841747"/>
        </w:tc>
        <w:tc>
          <w:tcPr>
            <w:tcW w:w="3150" w:type="dxa"/>
          </w:tcPr>
          <w:p w14:paraId="46EE7231" w14:textId="7FE280D5" w:rsidR="00841747" w:rsidRPr="00875B0B" w:rsidRDefault="00841747" w:rsidP="00841747"/>
        </w:tc>
        <w:tc>
          <w:tcPr>
            <w:tcW w:w="2610" w:type="dxa"/>
          </w:tcPr>
          <w:p w14:paraId="449FABC0" w14:textId="1DAC231F" w:rsidR="00841747" w:rsidRPr="00875B0B" w:rsidRDefault="00841747" w:rsidP="00841747"/>
        </w:tc>
        <w:tc>
          <w:tcPr>
            <w:tcW w:w="4923" w:type="dxa"/>
          </w:tcPr>
          <w:p w14:paraId="3C8CB872" w14:textId="72AEA7A4" w:rsidR="00841747" w:rsidRPr="00875B0B" w:rsidRDefault="00841747" w:rsidP="00841747"/>
        </w:tc>
      </w:tr>
      <w:tr w:rsidR="00855BDB" w14:paraId="5F861887" w14:textId="77777777" w:rsidTr="009E0032">
        <w:trPr>
          <w:trHeight w:val="389"/>
        </w:trPr>
        <w:tc>
          <w:tcPr>
            <w:tcW w:w="2515" w:type="dxa"/>
            <w:shd w:val="clear" w:color="auto" w:fill="auto"/>
          </w:tcPr>
          <w:p w14:paraId="1C26C167" w14:textId="243A737E" w:rsidR="00855BDB" w:rsidRPr="003A4BC6" w:rsidRDefault="00855BDB" w:rsidP="00855BDB"/>
        </w:tc>
        <w:tc>
          <w:tcPr>
            <w:tcW w:w="3150" w:type="dxa"/>
          </w:tcPr>
          <w:p w14:paraId="15D63C00" w14:textId="2F755B53" w:rsidR="00855BDB" w:rsidRPr="00875B0B" w:rsidRDefault="00855BDB" w:rsidP="00855BDB"/>
        </w:tc>
        <w:tc>
          <w:tcPr>
            <w:tcW w:w="2610" w:type="dxa"/>
          </w:tcPr>
          <w:p w14:paraId="56C88C96" w14:textId="6FCC222B" w:rsidR="00855BDB" w:rsidRPr="00875B0B" w:rsidRDefault="00855BDB" w:rsidP="00855BDB"/>
        </w:tc>
        <w:tc>
          <w:tcPr>
            <w:tcW w:w="4923" w:type="dxa"/>
          </w:tcPr>
          <w:p w14:paraId="66C6465C" w14:textId="7A8F9E09" w:rsidR="00855BDB" w:rsidRPr="00875B0B" w:rsidRDefault="00855BDB" w:rsidP="00855BDB"/>
        </w:tc>
      </w:tr>
      <w:tr w:rsidR="00841747" w14:paraId="6E707DF4" w14:textId="77777777" w:rsidTr="009E0032">
        <w:trPr>
          <w:trHeight w:val="413"/>
        </w:trPr>
        <w:tc>
          <w:tcPr>
            <w:tcW w:w="2515" w:type="dxa"/>
            <w:shd w:val="clear" w:color="auto" w:fill="auto"/>
          </w:tcPr>
          <w:p w14:paraId="3667DC78" w14:textId="716D769F" w:rsidR="00841747" w:rsidRPr="003A4BC6" w:rsidRDefault="00841747" w:rsidP="009E0032"/>
        </w:tc>
        <w:tc>
          <w:tcPr>
            <w:tcW w:w="3150" w:type="dxa"/>
          </w:tcPr>
          <w:p w14:paraId="4981B0E0" w14:textId="443D40DD" w:rsidR="00841747" w:rsidRPr="00875B0B" w:rsidRDefault="00841747" w:rsidP="009E0032"/>
        </w:tc>
        <w:tc>
          <w:tcPr>
            <w:tcW w:w="2610" w:type="dxa"/>
          </w:tcPr>
          <w:p w14:paraId="0F6B4D95" w14:textId="0547B786" w:rsidR="00841747" w:rsidRPr="00875B0B" w:rsidRDefault="00841747" w:rsidP="009E0032"/>
        </w:tc>
        <w:tc>
          <w:tcPr>
            <w:tcW w:w="4923" w:type="dxa"/>
          </w:tcPr>
          <w:p w14:paraId="228BF631" w14:textId="6CF127C5" w:rsidR="00841747" w:rsidRPr="00875B0B" w:rsidRDefault="00841747" w:rsidP="009E0032"/>
        </w:tc>
      </w:tr>
      <w:tr w:rsidR="00841747" w14:paraId="411EBC5C" w14:textId="77777777" w:rsidTr="009E0032">
        <w:trPr>
          <w:trHeight w:val="389"/>
        </w:trPr>
        <w:tc>
          <w:tcPr>
            <w:tcW w:w="2515" w:type="dxa"/>
            <w:shd w:val="clear" w:color="auto" w:fill="auto"/>
          </w:tcPr>
          <w:p w14:paraId="6C9CF6C5" w14:textId="0F6CA767" w:rsidR="00841747" w:rsidRPr="003A4BC6" w:rsidRDefault="00841747" w:rsidP="009E0032"/>
        </w:tc>
        <w:tc>
          <w:tcPr>
            <w:tcW w:w="3150" w:type="dxa"/>
          </w:tcPr>
          <w:p w14:paraId="5CB3CA97" w14:textId="7CEE4396" w:rsidR="00841747" w:rsidRPr="00875B0B" w:rsidRDefault="00841747" w:rsidP="009E0032"/>
        </w:tc>
        <w:tc>
          <w:tcPr>
            <w:tcW w:w="2610" w:type="dxa"/>
          </w:tcPr>
          <w:p w14:paraId="786FF9C3" w14:textId="2B583260" w:rsidR="00841747" w:rsidRPr="00875B0B" w:rsidRDefault="00841747" w:rsidP="009E0032"/>
        </w:tc>
        <w:tc>
          <w:tcPr>
            <w:tcW w:w="4923" w:type="dxa"/>
          </w:tcPr>
          <w:p w14:paraId="7ACDB827" w14:textId="7191442B" w:rsidR="00841747" w:rsidRPr="00875B0B" w:rsidRDefault="00841747" w:rsidP="009E0032"/>
        </w:tc>
      </w:tr>
    </w:tbl>
    <w:p w14:paraId="5501AD76" w14:textId="77777777" w:rsidR="00AF13A8" w:rsidRDefault="00AF13A8" w:rsidP="00841747">
      <w:pPr>
        <w:spacing w:before="360"/>
        <w:rPr>
          <w:sz w:val="24"/>
          <w:szCs w:val="24"/>
        </w:rPr>
      </w:pPr>
      <w:bookmarkStart w:id="0" w:name="_Hlk193363008"/>
    </w:p>
    <w:p w14:paraId="0DFF97CF" w14:textId="3C68586A" w:rsidR="00841747" w:rsidRPr="003A4BC6" w:rsidRDefault="00841747" w:rsidP="00841747">
      <w:pPr>
        <w:spacing w:before="360"/>
        <w:rPr>
          <w:b/>
          <w:bCs/>
          <w:sz w:val="24"/>
          <w:szCs w:val="24"/>
        </w:rPr>
      </w:pPr>
      <w:r w:rsidRPr="00841747">
        <w:rPr>
          <w:sz w:val="24"/>
          <w:szCs w:val="24"/>
        </w:rPr>
        <w:t xml:space="preserve">This document was designed to accompany the </w:t>
      </w:r>
      <w:hyperlink r:id="rId10" w:history="1">
        <w:r w:rsidRPr="00841747">
          <w:rPr>
            <w:rStyle w:val="Hyperlink"/>
            <w:sz w:val="24"/>
            <w:szCs w:val="24"/>
          </w:rPr>
          <w:t>Connecting Communication and Instruction</w:t>
        </w:r>
      </w:hyperlink>
      <w:r w:rsidRPr="00841747">
        <w:rPr>
          <w:sz w:val="24"/>
          <w:szCs w:val="24"/>
        </w:rPr>
        <w:t xml:space="preserve"> training.</w:t>
      </w:r>
      <w:bookmarkEnd w:id="0"/>
    </w:p>
    <w:sectPr w:rsidR="00841747" w:rsidRPr="003A4BC6" w:rsidSect="00501470">
      <w:footerReference w:type="default" r:id="rId11"/>
      <w:pgSz w:w="15840" w:h="12240" w:orient="landscape"/>
      <w:pgMar w:top="1035"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AAEEE" w14:textId="77777777" w:rsidR="00EB7E2E" w:rsidRDefault="00EB7E2E" w:rsidP="00284E0D">
      <w:r>
        <w:separator/>
      </w:r>
    </w:p>
  </w:endnote>
  <w:endnote w:type="continuationSeparator" w:id="0">
    <w:p w14:paraId="756E3B68" w14:textId="77777777" w:rsidR="00EB7E2E" w:rsidRDefault="00EB7E2E" w:rsidP="0028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683E" w14:textId="3EFA5C48" w:rsidR="003A4BC6" w:rsidRPr="00501470" w:rsidRDefault="003A4BC6" w:rsidP="00501470">
    <w:pPr>
      <w:pStyle w:val="BasicParagraph"/>
      <w:tabs>
        <w:tab w:val="right" w:pos="12960"/>
      </w:tabs>
      <w:rPr>
        <w:rFonts w:ascii="Calibri" w:hAnsi="Calibri" w:cs="Calibri"/>
        <w:sz w:val="13"/>
        <w:szCs w:val="13"/>
      </w:rPr>
    </w:pPr>
    <w:r w:rsidRPr="003A4BC6">
      <w:rPr>
        <w:rFonts w:ascii="Calibri" w:hAnsi="Calibri" w:cs="Calibri"/>
        <w:sz w:val="13"/>
        <w:szCs w:val="13"/>
      </w:rPr>
      <w:t>Copyright © 202</w:t>
    </w:r>
    <w:r w:rsidR="002A0305">
      <w:rPr>
        <w:rFonts w:ascii="Calibri" w:hAnsi="Calibri" w:cs="Calibri"/>
        <w:sz w:val="13"/>
        <w:szCs w:val="13"/>
      </w:rPr>
      <w:t>5</w:t>
    </w:r>
    <w:r w:rsidRPr="003A4BC6">
      <w:rPr>
        <w:rFonts w:ascii="Calibri" w:hAnsi="Calibri" w:cs="Calibri"/>
        <w:sz w:val="13"/>
        <w:szCs w:val="13"/>
      </w:rPr>
      <w:t>. Texas Education Agency. All Rights Reserved.</w:t>
    </w:r>
    <w:r>
      <w:rPr>
        <w:rFonts w:ascii="Calibri" w:hAnsi="Calibri" w:cs="Calibri"/>
        <w:sz w:val="13"/>
        <w:szCs w:val="13"/>
      </w:rPr>
      <w:t xml:space="preserve"> </w:t>
    </w:r>
    <w:r>
      <w:rPr>
        <w:rFonts w:ascii="Calibri" w:hAnsi="Calibri" w:cs="Calibri"/>
        <w:sz w:val="13"/>
        <w:szCs w:val="13"/>
      </w:rPr>
      <w:tab/>
    </w:r>
    <w:r>
      <w:rPr>
        <w:rFonts w:ascii="Calibri" w:hAnsi="Calibri" w:cs="Calibri"/>
        <w:noProof/>
        <w:sz w:val="13"/>
        <w:szCs w:val="13"/>
      </w:rPr>
      <w:drawing>
        <wp:inline distT="0" distB="0" distL="0" distR="0" wp14:anchorId="503CA721" wp14:editId="0957D62F">
          <wp:extent cx="1594336" cy="332494"/>
          <wp:effectExtent l="0" t="0" r="0" b="0"/>
          <wp:docPr id="1792414960" name="Picture 3" descr="Brandmark of TEA: Texas Education Agency | Texas SPED Su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14960" name="Picture 3" descr="Brandmark of TEA: Texas Education Agency | Texas SPED Support "/>
                  <pic:cNvPicPr/>
                </pic:nvPicPr>
                <pic:blipFill>
                  <a:blip r:embed="rId1">
                    <a:extLst>
                      <a:ext uri="{28A0092B-C50C-407E-A947-70E740481C1C}">
                        <a14:useLocalDpi xmlns:a14="http://schemas.microsoft.com/office/drawing/2010/main" val="0"/>
                      </a:ext>
                    </a:extLst>
                  </a:blip>
                  <a:stretch>
                    <a:fillRect/>
                  </a:stretch>
                </pic:blipFill>
                <pic:spPr>
                  <a:xfrm>
                    <a:off x="0" y="0"/>
                    <a:ext cx="1678084" cy="3499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C37D" w14:textId="77777777" w:rsidR="00EB7E2E" w:rsidRDefault="00EB7E2E" w:rsidP="00284E0D">
      <w:r>
        <w:separator/>
      </w:r>
    </w:p>
  </w:footnote>
  <w:footnote w:type="continuationSeparator" w:id="0">
    <w:p w14:paraId="62E6A2BD" w14:textId="77777777" w:rsidR="00EB7E2E" w:rsidRDefault="00EB7E2E" w:rsidP="00284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FC"/>
    <w:rsid w:val="000019DB"/>
    <w:rsid w:val="00052209"/>
    <w:rsid w:val="00150719"/>
    <w:rsid w:val="00161B96"/>
    <w:rsid w:val="00284E0D"/>
    <w:rsid w:val="002A0305"/>
    <w:rsid w:val="003A4BC6"/>
    <w:rsid w:val="00406DB3"/>
    <w:rsid w:val="00442A24"/>
    <w:rsid w:val="004D7C12"/>
    <w:rsid w:val="00501470"/>
    <w:rsid w:val="00570822"/>
    <w:rsid w:val="005777B7"/>
    <w:rsid w:val="00653EA8"/>
    <w:rsid w:val="006F1FC9"/>
    <w:rsid w:val="00742C33"/>
    <w:rsid w:val="00841747"/>
    <w:rsid w:val="00855BDB"/>
    <w:rsid w:val="008B0B2A"/>
    <w:rsid w:val="008B156D"/>
    <w:rsid w:val="0092726E"/>
    <w:rsid w:val="00981FD7"/>
    <w:rsid w:val="009B649F"/>
    <w:rsid w:val="00A00C00"/>
    <w:rsid w:val="00A10569"/>
    <w:rsid w:val="00A619FC"/>
    <w:rsid w:val="00AF13A8"/>
    <w:rsid w:val="00BE7901"/>
    <w:rsid w:val="00C87D26"/>
    <w:rsid w:val="00CA78DD"/>
    <w:rsid w:val="00CE5D53"/>
    <w:rsid w:val="00D11A34"/>
    <w:rsid w:val="00D51CF0"/>
    <w:rsid w:val="00D528E5"/>
    <w:rsid w:val="00DF21EE"/>
    <w:rsid w:val="00E053C0"/>
    <w:rsid w:val="00E5254B"/>
    <w:rsid w:val="00E75FD9"/>
    <w:rsid w:val="00E81156"/>
    <w:rsid w:val="00EB7E2E"/>
    <w:rsid w:val="00EF543D"/>
    <w:rsid w:val="00F10B81"/>
    <w:rsid w:val="00F43BF9"/>
    <w:rsid w:val="00FF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E9BBB"/>
  <w15:chartTrackingRefBased/>
  <w15:docId w15:val="{61346419-4B3E-412F-9766-6F5006A8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FC"/>
  </w:style>
  <w:style w:type="paragraph" w:styleId="Heading1">
    <w:name w:val="heading 1"/>
    <w:basedOn w:val="Normal"/>
    <w:next w:val="Normal"/>
    <w:link w:val="Heading1Char"/>
    <w:uiPriority w:val="9"/>
    <w:qFormat/>
    <w:rsid w:val="003A4BC6"/>
    <w:pPr>
      <w:tabs>
        <w:tab w:val="center" w:pos="4680"/>
      </w:tabs>
      <w:outlineLvl w:val="0"/>
    </w:pPr>
    <w:rPr>
      <w:b/>
      <w:bCs/>
      <w:color w:val="012169"/>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26"/>
    <w:pPr>
      <w:spacing w:after="160" w:line="259" w:lineRule="auto"/>
      <w:ind w:left="720"/>
      <w:contextualSpacing/>
    </w:pPr>
    <w:rPr>
      <w:rFonts w:cs="Times New Roman"/>
      <w:szCs w:val="24"/>
    </w:rPr>
  </w:style>
  <w:style w:type="table" w:styleId="TableGrid">
    <w:name w:val="Table Grid"/>
    <w:basedOn w:val="TableNormal"/>
    <w:uiPriority w:val="39"/>
    <w:rsid w:val="00A6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E0D"/>
    <w:pPr>
      <w:tabs>
        <w:tab w:val="center" w:pos="4680"/>
        <w:tab w:val="right" w:pos="9360"/>
      </w:tabs>
    </w:pPr>
  </w:style>
  <w:style w:type="character" w:customStyle="1" w:styleId="HeaderChar">
    <w:name w:val="Header Char"/>
    <w:basedOn w:val="DefaultParagraphFont"/>
    <w:link w:val="Header"/>
    <w:uiPriority w:val="99"/>
    <w:rsid w:val="00284E0D"/>
  </w:style>
  <w:style w:type="paragraph" w:styleId="Footer">
    <w:name w:val="footer"/>
    <w:basedOn w:val="Normal"/>
    <w:link w:val="FooterChar"/>
    <w:uiPriority w:val="99"/>
    <w:unhideWhenUsed/>
    <w:rsid w:val="00284E0D"/>
    <w:pPr>
      <w:tabs>
        <w:tab w:val="center" w:pos="4680"/>
        <w:tab w:val="right" w:pos="9360"/>
      </w:tabs>
    </w:pPr>
  </w:style>
  <w:style w:type="character" w:customStyle="1" w:styleId="FooterChar">
    <w:name w:val="Footer Char"/>
    <w:basedOn w:val="DefaultParagraphFont"/>
    <w:link w:val="Footer"/>
    <w:uiPriority w:val="99"/>
    <w:rsid w:val="00284E0D"/>
  </w:style>
  <w:style w:type="character" w:customStyle="1" w:styleId="Heading1Char">
    <w:name w:val="Heading 1 Char"/>
    <w:basedOn w:val="DefaultParagraphFont"/>
    <w:link w:val="Heading1"/>
    <w:uiPriority w:val="9"/>
    <w:rsid w:val="003A4BC6"/>
    <w:rPr>
      <w:b/>
      <w:bCs/>
      <w:color w:val="012169"/>
      <w:sz w:val="48"/>
      <w:szCs w:val="48"/>
    </w:rPr>
  </w:style>
  <w:style w:type="paragraph" w:customStyle="1" w:styleId="BasicParagraph">
    <w:name w:val="[Basic Paragraph]"/>
    <w:basedOn w:val="Normal"/>
    <w:uiPriority w:val="99"/>
    <w:rsid w:val="003A4BC6"/>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41747"/>
    <w:rPr>
      <w:color w:val="0563C1" w:themeColor="hyperlink"/>
      <w:u w:val="single"/>
    </w:rPr>
  </w:style>
  <w:style w:type="character" w:styleId="UnresolvedMention">
    <w:name w:val="Unresolved Mention"/>
    <w:basedOn w:val="DefaultParagraphFont"/>
    <w:uiPriority w:val="99"/>
    <w:semiHidden/>
    <w:unhideWhenUsed/>
    <w:rsid w:val="0084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971634">
      <w:bodyDiv w:val="1"/>
      <w:marLeft w:val="0"/>
      <w:marRight w:val="0"/>
      <w:marTop w:val="0"/>
      <w:marBottom w:val="0"/>
      <w:divBdr>
        <w:top w:val="none" w:sz="0" w:space="0" w:color="auto"/>
        <w:left w:val="none" w:sz="0" w:space="0" w:color="auto"/>
        <w:bottom w:val="none" w:sz="0" w:space="0" w:color="auto"/>
        <w:right w:val="none" w:sz="0" w:space="0" w:color="auto"/>
      </w:divBdr>
    </w:div>
    <w:div w:id="18029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pedsupport.tea.texas.gov/learning-library/connecting-communication-and-instruction-students-complex-access-needs"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6C9A0E71FFA546A970A1D064C65EC2" ma:contentTypeVersion="13" ma:contentTypeDescription="Create a new document." ma:contentTypeScope="" ma:versionID="ed4b502a2588e99d03f458a0b45d6268">
  <xsd:schema xmlns:xsd="http://www.w3.org/2001/XMLSchema" xmlns:xs="http://www.w3.org/2001/XMLSchema" xmlns:p="http://schemas.microsoft.com/office/2006/metadata/properties" xmlns:ns2="222d9baf-36aa-47b9-a972-5e4082226757" xmlns:ns3="e579cec0-4394-4956-9231-7267807d1be0" targetNamespace="http://schemas.microsoft.com/office/2006/metadata/properties" ma:root="true" ma:fieldsID="eebab1284f2bdcdcd0388c1c3c72780e" ns2:_="" ns3:_="">
    <xsd:import namespace="222d9baf-36aa-47b9-a972-5e4082226757"/>
    <xsd:import namespace="e579cec0-4394-4956-9231-7267807d1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d9baf-36aa-47b9-a972-5e4082226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6886e6-8c18-4991-bee5-62a23d69e3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9cec0-4394-4956-9231-7267807d1b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3d4437-3348-47a5-8120-479b2da96bbc}" ma:internalName="TaxCatchAll" ma:showField="CatchAllData" ma:web="e579cec0-4394-4956-9231-7267807d1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79cec0-4394-4956-9231-7267807d1be0" xsi:nil="true"/>
    <lcf76f155ced4ddcb4097134ff3c332f xmlns="222d9baf-36aa-47b9-a972-5e40822267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82F555-843D-495D-ABC5-19E4D64D45C2}">
  <ds:schemaRefs>
    <ds:schemaRef ds:uri="http://schemas.microsoft.com/sharepoint/v3/contenttype/forms"/>
  </ds:schemaRefs>
</ds:datastoreItem>
</file>

<file path=customXml/itemProps2.xml><?xml version="1.0" encoding="utf-8"?>
<ds:datastoreItem xmlns:ds="http://schemas.openxmlformats.org/officeDocument/2006/customXml" ds:itemID="{F9478003-21B7-4C42-8DE4-FC809DD6209D}">
  <ds:schemaRefs>
    <ds:schemaRef ds:uri="http://schemas.openxmlformats.org/officeDocument/2006/bibliography"/>
  </ds:schemaRefs>
</ds:datastoreItem>
</file>

<file path=customXml/itemProps3.xml><?xml version="1.0" encoding="utf-8"?>
<ds:datastoreItem xmlns:ds="http://schemas.openxmlformats.org/officeDocument/2006/customXml" ds:itemID="{866346CD-6494-4321-B413-56A71DCBF7CB}"/>
</file>

<file path=customXml/itemProps4.xml><?xml version="1.0" encoding="utf-8"?>
<ds:datastoreItem xmlns:ds="http://schemas.openxmlformats.org/officeDocument/2006/customXml" ds:itemID="{F6C86D09-EF22-4993-A4B0-ACDBFBFC8067}">
  <ds:schemaRefs>
    <ds:schemaRef ds:uri="http://schemas.microsoft.com/office/2006/metadata/properties"/>
    <ds:schemaRef ds:uri="http://schemas.microsoft.com/office/infopath/2007/PartnerControls"/>
    <ds:schemaRef ds:uri="6ce987aa-ba57-409a-b474-072a10bf63c3"/>
    <ds:schemaRef ds:uri="59db3a20-cd76-483e-8241-5de0717f7c1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Personal Communication Dictionary</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Communication Dictionary</dc:title>
  <dc:subject/>
  <dc:creator>Shannon Beyer Kaminski</dc:creator>
  <cp:keywords/>
  <dc:description/>
  <cp:lastModifiedBy>Mari DiGiovanni</cp:lastModifiedBy>
  <cp:revision>3</cp:revision>
  <dcterms:created xsi:type="dcterms:W3CDTF">2025-04-21T14:17:00Z</dcterms:created>
  <dcterms:modified xsi:type="dcterms:W3CDTF">2025-04-21T14:53:00Z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0x010100216C9A0E71FFA546A970A1D064C65EC2</vt:lpwstr>
  </property>
</Properties>
</file>